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proofErr w:type="spellStart"/>
      <w:r w:rsidRPr="00970852">
        <w:rPr>
          <w:rFonts w:ascii="Arial" w:eastAsia="Times New Roman" w:hAnsi="Arial" w:cs="Arial"/>
          <w:sz w:val="20"/>
          <w:szCs w:val="20"/>
          <w:lang w:eastAsia="pl-PL"/>
        </w:rPr>
        <w:t>zasobooszczędnego</w:t>
      </w:r>
      <w:proofErr w:type="spellEnd"/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1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1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41C44" w14:textId="77777777" w:rsidR="006976D4" w:rsidRDefault="006976D4">
      <w:r>
        <w:separator/>
      </w:r>
    </w:p>
  </w:endnote>
  <w:endnote w:type="continuationSeparator" w:id="0">
    <w:p w14:paraId="3BA13074" w14:textId="77777777" w:rsidR="006976D4" w:rsidRDefault="0069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D5DA" w14:textId="11C5D5CF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9C7651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6976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7DE17" w14:textId="77777777" w:rsidR="006976D4" w:rsidRDefault="006976D4">
      <w:r>
        <w:separator/>
      </w:r>
    </w:p>
  </w:footnote>
  <w:footnote w:type="continuationSeparator" w:id="0">
    <w:p w14:paraId="51F81DFA" w14:textId="77777777" w:rsidR="006976D4" w:rsidRDefault="006976D4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976D4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C7651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D610-4B5C-4BD2-AFB1-1CF97DD4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 - zmiany Programu współpracy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>Teresa Lipska</dc:creator>
  <cp:keywords/>
  <dc:description/>
  <cp:lastModifiedBy>Teresa Lipska</cp:lastModifiedBy>
  <cp:revision>2</cp:revision>
  <cp:lastPrinted>2022-03-02T07:55:00Z</cp:lastPrinted>
  <dcterms:created xsi:type="dcterms:W3CDTF">2022-03-04T13:01:00Z</dcterms:created>
  <dcterms:modified xsi:type="dcterms:W3CDTF">2022-03-04T13:01:00Z</dcterms:modified>
</cp:coreProperties>
</file>